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3B" w:rsidRPr="00B87B2A" w:rsidRDefault="006E623B" w:rsidP="006E623B">
      <w:pPr>
        <w:pStyle w:val="NormalnyWeb"/>
        <w:spacing w:before="0" w:beforeAutospacing="0" w:after="0" w:line="360" w:lineRule="auto"/>
        <w:jc w:val="right"/>
        <w:rPr>
          <w:rFonts w:ascii="Verdana" w:hAnsi="Verdana"/>
          <w:i/>
          <w:sz w:val="18"/>
          <w:szCs w:val="18"/>
        </w:rPr>
      </w:pPr>
      <w:r w:rsidRPr="00B87B2A">
        <w:rPr>
          <w:rFonts w:ascii="Verdana" w:hAnsi="Verdana"/>
          <w:i/>
          <w:sz w:val="18"/>
          <w:szCs w:val="18"/>
        </w:rPr>
        <w:t xml:space="preserve">Załącznik </w:t>
      </w:r>
      <w:r w:rsidRPr="00B87B2A">
        <w:rPr>
          <w:rFonts w:ascii="Verdana" w:hAnsi="Verdana"/>
          <w:b/>
          <w:i/>
          <w:sz w:val="18"/>
          <w:szCs w:val="18"/>
        </w:rPr>
        <w:t>nr 1</w:t>
      </w:r>
    </w:p>
    <w:p w:rsidR="006E623B" w:rsidRPr="00B87B2A" w:rsidRDefault="006E623B" w:rsidP="006E623B">
      <w:pPr>
        <w:pStyle w:val="NormalnyWeb"/>
        <w:spacing w:before="0" w:beforeAutospacing="0" w:after="0" w:line="360" w:lineRule="auto"/>
        <w:jc w:val="center"/>
        <w:rPr>
          <w:rFonts w:ascii="Verdana" w:hAnsi="Verdana"/>
          <w:b/>
          <w:sz w:val="18"/>
          <w:szCs w:val="18"/>
        </w:rPr>
      </w:pPr>
    </w:p>
    <w:p w:rsidR="006E623B" w:rsidRPr="00B87B2A" w:rsidRDefault="006E623B" w:rsidP="006E623B">
      <w:pPr>
        <w:pStyle w:val="NormalnyWeb"/>
        <w:spacing w:before="0" w:beforeAutospacing="0" w:after="0" w:line="360" w:lineRule="auto"/>
        <w:jc w:val="center"/>
        <w:rPr>
          <w:rFonts w:ascii="Verdana" w:hAnsi="Verdana"/>
          <w:b/>
          <w:sz w:val="18"/>
          <w:szCs w:val="18"/>
        </w:rPr>
      </w:pPr>
      <w:r w:rsidRPr="00B87B2A">
        <w:rPr>
          <w:rFonts w:ascii="Verdana" w:hAnsi="Verdana"/>
          <w:b/>
          <w:sz w:val="18"/>
          <w:szCs w:val="18"/>
        </w:rPr>
        <w:t>Specyfikacja techniczna przedmiotu zamówienia</w:t>
      </w:r>
    </w:p>
    <w:p w:rsidR="006E623B" w:rsidRPr="00B87B2A" w:rsidRDefault="006E623B" w:rsidP="006E623B">
      <w:pPr>
        <w:pStyle w:val="NormalnyWeb"/>
        <w:spacing w:before="0" w:beforeAutospacing="0" w:after="0" w:line="360" w:lineRule="auto"/>
        <w:jc w:val="both"/>
        <w:rPr>
          <w:rFonts w:ascii="Verdana" w:hAnsi="Verdana"/>
          <w:sz w:val="18"/>
          <w:szCs w:val="18"/>
        </w:rPr>
      </w:pPr>
    </w:p>
    <w:p w:rsidR="006E623B" w:rsidRPr="00B87B2A" w:rsidRDefault="006E623B" w:rsidP="006E623B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Verdana" w:eastAsia="Times New Roman" w:hAnsi="Verdana" w:cs="Calibri"/>
          <w:b/>
          <w:sz w:val="18"/>
          <w:szCs w:val="18"/>
          <w:lang w:eastAsia="pl-PL"/>
        </w:rPr>
      </w:pPr>
      <w:r w:rsidRPr="00B87B2A">
        <w:rPr>
          <w:rFonts w:ascii="Verdana" w:eastAsia="Times New Roman" w:hAnsi="Verdana" w:cs="Calibri"/>
          <w:sz w:val="18"/>
          <w:szCs w:val="18"/>
          <w:lang w:eastAsia="pl-PL"/>
        </w:rPr>
        <w:t>Przedmiotem zamówienia jest dostawa nowego nieużywanego wc</w:t>
      </w:r>
      <w:r>
        <w:rPr>
          <w:rFonts w:ascii="Verdana" w:eastAsia="Times New Roman" w:hAnsi="Verdana" w:cs="Calibri"/>
          <w:sz w:val="18"/>
          <w:szCs w:val="18"/>
          <w:lang w:eastAsia="pl-PL"/>
        </w:rPr>
        <w:t>ześniej sprzętu komputerowego i </w:t>
      </w:r>
      <w:r w:rsidRPr="00B87B2A">
        <w:rPr>
          <w:rFonts w:ascii="Verdana" w:eastAsia="Times New Roman" w:hAnsi="Verdana" w:cs="Calibri"/>
          <w:sz w:val="18"/>
          <w:szCs w:val="18"/>
          <w:lang w:eastAsia="pl-PL"/>
        </w:rPr>
        <w:t xml:space="preserve">multimedialnego na potrzeby Zespołu Szkół im. Macieja Rataja w Gościnie w ramach projektu pt. </w:t>
      </w:r>
      <w:r w:rsidRPr="00B87B2A">
        <w:rPr>
          <w:rFonts w:ascii="Verdana" w:eastAsia="Times New Roman" w:hAnsi="Verdana" w:cs="Calibri"/>
          <w:b/>
          <w:sz w:val="18"/>
          <w:szCs w:val="18"/>
          <w:lang w:eastAsia="pl-PL"/>
        </w:rPr>
        <w:t>„Fabryka kompetencji kluczowych”.</w:t>
      </w:r>
    </w:p>
    <w:tbl>
      <w:tblPr>
        <w:tblStyle w:val="Tabela-Siatka"/>
        <w:tblW w:w="9912" w:type="dxa"/>
        <w:tblLayout w:type="fixed"/>
        <w:tblLook w:val="04A0"/>
      </w:tblPr>
      <w:tblGrid>
        <w:gridCol w:w="1668"/>
        <w:gridCol w:w="850"/>
        <w:gridCol w:w="7394"/>
      </w:tblGrid>
      <w:tr w:rsidR="006E623B" w:rsidRPr="00B87B2A" w:rsidTr="000E04E7">
        <w:trPr>
          <w:trHeight w:val="310"/>
        </w:trPr>
        <w:tc>
          <w:tcPr>
            <w:tcW w:w="1668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RODZAJ SPRZĘTU</w:t>
            </w:r>
          </w:p>
        </w:tc>
        <w:tc>
          <w:tcPr>
            <w:tcW w:w="850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394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WYMAGANE PARAMETRU SPRZĘTU</w:t>
            </w:r>
          </w:p>
        </w:tc>
      </w:tr>
      <w:tr w:rsidR="006E623B" w:rsidRPr="00B87B2A" w:rsidTr="000E04E7">
        <w:trPr>
          <w:trHeight w:val="1134"/>
        </w:trPr>
        <w:tc>
          <w:tcPr>
            <w:tcW w:w="1668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Zestawy komputerowe (uczniowskie) – jednostka centralna+ monitor</w:t>
            </w:r>
          </w:p>
        </w:tc>
        <w:tc>
          <w:tcPr>
            <w:tcW w:w="850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15 szt.</w:t>
            </w:r>
          </w:p>
        </w:tc>
        <w:tc>
          <w:tcPr>
            <w:tcW w:w="7394" w:type="dxa"/>
          </w:tcPr>
          <w:p w:rsidR="006E623B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Parametry jednostki:</w:t>
            </w:r>
          </w:p>
          <w:p w:rsidR="006E623B" w:rsidRDefault="006E623B" w:rsidP="006E623B">
            <w:pPr>
              <w:pStyle w:val="Akapitzlist"/>
              <w:numPr>
                <w:ilvl w:val="0"/>
                <w:numId w:val="5"/>
              </w:numPr>
              <w:rPr>
                <w:rFonts w:ascii="Verdana" w:hAnsi="Verdana"/>
                <w:sz w:val="19"/>
                <w:szCs w:val="19"/>
              </w:rPr>
            </w:pPr>
            <w:r w:rsidRPr="005A180E">
              <w:rPr>
                <w:rFonts w:ascii="Verdana" w:hAnsi="Verdana"/>
                <w:sz w:val="19"/>
                <w:szCs w:val="19"/>
              </w:rPr>
              <w:t xml:space="preserve">Procesor – wielordzeniowy, osiągający w teście PassMark CPU Mark minimum </w:t>
            </w:r>
            <w:r>
              <w:rPr>
                <w:rFonts w:ascii="Verdana" w:hAnsi="Verdana"/>
                <w:sz w:val="19"/>
                <w:szCs w:val="19"/>
              </w:rPr>
              <w:t>9580</w:t>
            </w:r>
            <w:r w:rsidRPr="005A180E">
              <w:rPr>
                <w:rFonts w:ascii="Verdana" w:hAnsi="Verdana"/>
                <w:sz w:val="19"/>
                <w:szCs w:val="19"/>
              </w:rPr>
              <w:t xml:space="preserve"> pkt.(wynik testu wydajności zap</w:t>
            </w:r>
            <w:r>
              <w:rPr>
                <w:rFonts w:ascii="Verdana" w:hAnsi="Verdana"/>
                <w:sz w:val="19"/>
                <w:szCs w:val="19"/>
              </w:rPr>
              <w:t>roponowanego procesora musi być</w:t>
            </w:r>
            <w:r w:rsidRPr="005A180E">
              <w:rPr>
                <w:rFonts w:ascii="Verdana" w:hAnsi="Verdana"/>
                <w:sz w:val="19"/>
                <w:szCs w:val="19"/>
              </w:rPr>
              <w:t xml:space="preserve"> opublikowany w zestawieniu CpuBenchmark – stanowiącym Załącznik </w:t>
            </w:r>
            <w:r w:rsidRPr="00D61D1D">
              <w:rPr>
                <w:rFonts w:ascii="Verdana" w:hAnsi="Verdana"/>
                <w:sz w:val="19"/>
                <w:szCs w:val="19"/>
              </w:rPr>
              <w:t>nr 6</w:t>
            </w:r>
            <w:r w:rsidRPr="005A180E">
              <w:rPr>
                <w:rFonts w:ascii="Verdana" w:hAnsi="Verdana"/>
                <w:sz w:val="19"/>
                <w:szCs w:val="19"/>
              </w:rPr>
              <w:t xml:space="preserve"> w niniejszym postępowaniu. Wyniki testów na podstawie zestawienia publikowanego na stronie </w:t>
            </w:r>
            <w:hyperlink r:id="rId8" w:history="1">
              <w:r w:rsidRPr="005A180E">
                <w:rPr>
                  <w:rStyle w:val="Hipercze"/>
                  <w:rFonts w:ascii="Verdana" w:hAnsi="Verdana"/>
                  <w:sz w:val="19"/>
                  <w:szCs w:val="19"/>
                </w:rPr>
                <w:t>www.cpubenchmark.net</w:t>
              </w:r>
            </w:hyperlink>
            <w:r w:rsidRPr="005A180E">
              <w:rPr>
                <w:rFonts w:ascii="Verdana" w:hAnsi="Verdana"/>
                <w:sz w:val="19"/>
                <w:szCs w:val="19"/>
              </w:rPr>
              <w:t xml:space="preserve"> w dniu </w:t>
            </w:r>
            <w:r>
              <w:rPr>
                <w:rFonts w:ascii="Verdana" w:hAnsi="Verdana"/>
                <w:sz w:val="19"/>
                <w:szCs w:val="19"/>
              </w:rPr>
              <w:t>21</w:t>
            </w:r>
            <w:r w:rsidRPr="00D61D1D">
              <w:rPr>
                <w:rFonts w:ascii="Verdana" w:hAnsi="Verdana"/>
                <w:sz w:val="19"/>
                <w:szCs w:val="19"/>
              </w:rPr>
              <w:t>.10.2020r</w:t>
            </w:r>
            <w:r w:rsidRPr="005A180E">
              <w:rPr>
                <w:rFonts w:ascii="Verdana" w:hAnsi="Verdana"/>
                <w:sz w:val="19"/>
                <w:szCs w:val="19"/>
              </w:rPr>
              <w:t>.)</w:t>
            </w:r>
          </w:p>
          <w:p w:rsidR="006E623B" w:rsidRPr="005A180E" w:rsidRDefault="006E623B" w:rsidP="000E04E7">
            <w:pPr>
              <w:pStyle w:val="Akapitzlist"/>
              <w:rPr>
                <w:rFonts w:ascii="Verdana" w:hAnsi="Verdana"/>
                <w:sz w:val="19"/>
                <w:szCs w:val="19"/>
              </w:rPr>
            </w:pP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 xml:space="preserve">min. </w:t>
            </w: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8GB DDR4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Dysk twardy min 500GB SSD m.2 odczyt min. 2200 MB/S zapis min 2000 MB/S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DVD - RW (nagrywarka DVD)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Karty sieciowe –Wifi,Rj 45 – zintegrowane z jednostka centralna.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Porty: 1xHDMI, 1xVGA, 1xDVI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Obudowa Midi Tower trwale oznaczona logo producenta, zasilacz montowany na dole obudowy min 3 porty USB w tym min 1 port USB 3.0, Co najmniej jeden fabryczny wentylator umieszczony z tyłu obudowy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Zasilacz ATX min 350W posiadający certyfikat 80+ Bronze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Klawiatura + mysz (przewodowe)</w:t>
            </w:r>
          </w:p>
          <w:p w:rsidR="006E623B" w:rsidRPr="00B87B2A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Windows 10 Pro</w:t>
            </w:r>
          </w:p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Monitor:</w:t>
            </w:r>
          </w:p>
          <w:tbl>
            <w:tblPr>
              <w:tblW w:w="764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920"/>
              <w:gridCol w:w="4720"/>
            </w:tblGrid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Proporcje obrazu</w:t>
                  </w:r>
                </w:p>
              </w:tc>
              <w:tc>
                <w:tcPr>
                  <w:tcW w:w="47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16:09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Przekątna ekranu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21.5"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Powierzchnia matrycy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Matowa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Ekran dotykowy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Nie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Technologia podświetlania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Diody LED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Plamka matrycy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0.248 mm</w:t>
                  </w:r>
                </w:p>
              </w:tc>
            </w:tr>
            <w:tr w:rsidR="006E623B" w:rsidRPr="00B87B2A" w:rsidTr="000E04E7">
              <w:trPr>
                <w:trHeight w:val="57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Rozdzielczość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1920 x 1080 (FHD 1080)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Czas reakcji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5 ms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Jasność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250 cd/m²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Kontrast statyczny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3 000:1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Kontrast dynamiczny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100 000 000:1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lastRenderedPageBreak/>
                    <w:t>Kąt widzenia poziomy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178 °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Kąt widzenia pionowy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178 °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Ilość kolorów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16,7 mln</w:t>
                  </w:r>
                </w:p>
              </w:tc>
            </w:tr>
            <w:tr w:rsidR="006E623B" w:rsidRPr="00B87B2A" w:rsidTr="000E04E7">
              <w:trPr>
                <w:trHeight w:val="570"/>
              </w:trPr>
              <w:tc>
                <w:tcPr>
                  <w:tcW w:w="292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Gniazda wejścia /wyjścia</w:t>
                  </w:r>
                </w:p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 </w:t>
                  </w:r>
                </w:p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 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3,5 mm minijack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15-pin D-Sub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HDMI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29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Wbudowane głośniki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Tak</w:t>
                  </w:r>
                </w:p>
              </w:tc>
            </w:tr>
            <w:tr w:rsidR="006E623B" w:rsidRPr="00B87B2A" w:rsidTr="000E04E7">
              <w:trPr>
                <w:trHeight w:val="570"/>
              </w:trPr>
              <w:tc>
                <w:tcPr>
                  <w:tcW w:w="292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center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pl-PL"/>
                    </w:rPr>
                    <w:t>Ergonomia</w:t>
                  </w: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Możliwość pochylenia panela (tilt) : +20°~-5°</w:t>
                  </w:r>
                </w:p>
              </w:tc>
            </w:tr>
            <w:tr w:rsidR="006E623B" w:rsidRPr="00B87B2A" w:rsidTr="000E04E7">
              <w:trPr>
                <w:trHeight w:val="570"/>
              </w:trPr>
              <w:tc>
                <w:tcPr>
                  <w:tcW w:w="2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Obrotowa podstawa monitora (swivel) : -160°~+160°</w:t>
                  </w:r>
                </w:p>
              </w:tc>
            </w:tr>
            <w:tr w:rsidR="006E623B" w:rsidRPr="00B87B2A" w:rsidTr="000E04E7">
              <w:trPr>
                <w:trHeight w:val="570"/>
              </w:trPr>
              <w:tc>
                <w:tcPr>
                  <w:tcW w:w="292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color w:val="000000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7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Regulacja wysokości : 0~110 mm</w:t>
                  </w:r>
                </w:p>
              </w:tc>
            </w:tr>
          </w:tbl>
          <w:p w:rsidR="006E623B" w:rsidRPr="00B87B2A" w:rsidRDefault="006E623B" w:rsidP="000E04E7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B87B2A">
              <w:rPr>
                <w:rFonts w:ascii="Verdana" w:hAnsi="Verdana"/>
                <w:sz w:val="18"/>
                <w:szCs w:val="18"/>
              </w:rPr>
              <w:t>Gwarancja:</w:t>
            </w:r>
          </w:p>
          <w:p w:rsidR="006E623B" w:rsidRPr="00B87B2A" w:rsidRDefault="006E623B" w:rsidP="006E623B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B87B2A">
              <w:rPr>
                <w:rFonts w:ascii="Verdana" w:hAnsi="Verdana"/>
                <w:sz w:val="18"/>
                <w:szCs w:val="18"/>
              </w:rPr>
              <w:t>min. 12 miesięcy w miejscu użytkowania sprzętu</w:t>
            </w:r>
          </w:p>
          <w:p w:rsidR="006E623B" w:rsidRPr="00B87B2A" w:rsidRDefault="006E623B" w:rsidP="006E623B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B87B2A">
              <w:rPr>
                <w:rFonts w:ascii="Verdana" w:hAnsi="Verdana"/>
                <w:sz w:val="18"/>
                <w:szCs w:val="18"/>
              </w:rPr>
              <w:t>4 dni robocze na usunięcie awarii od dnia zgłoszenia</w:t>
            </w:r>
          </w:p>
          <w:p w:rsidR="006E623B" w:rsidRPr="00B87B2A" w:rsidRDefault="006E623B" w:rsidP="006E623B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B87B2A">
              <w:rPr>
                <w:rFonts w:ascii="Verdana" w:hAnsi="Verdana"/>
                <w:sz w:val="18"/>
                <w:szCs w:val="18"/>
              </w:rPr>
              <w:t>Czas reakcji serwisu: do końca następnego dnia roboczego</w:t>
            </w:r>
          </w:p>
          <w:p w:rsidR="006E623B" w:rsidRPr="00B87B2A" w:rsidRDefault="006E623B" w:rsidP="006E623B">
            <w:pPr>
              <w:pStyle w:val="Akapitzlist"/>
              <w:numPr>
                <w:ilvl w:val="0"/>
                <w:numId w:val="6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B87B2A">
              <w:rPr>
                <w:rFonts w:ascii="Verdana" w:hAnsi="Verdana"/>
                <w:sz w:val="18"/>
                <w:szCs w:val="18"/>
              </w:rPr>
              <w:t>W przypadku awarii nośników danych w okresie gwarancji takich jak dyski twarde itp., pozostają one u Zamawiającego 5-letnia gwarancja bezzwrotna na dyski twarde</w:t>
            </w:r>
          </w:p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</w:p>
        </w:tc>
      </w:tr>
      <w:tr w:rsidR="006E623B" w:rsidRPr="00B87B2A" w:rsidTr="000E04E7">
        <w:trPr>
          <w:trHeight w:val="310"/>
        </w:trPr>
        <w:tc>
          <w:tcPr>
            <w:tcW w:w="1668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lastRenderedPageBreak/>
              <w:t>RODZAJ SPRZĘTU</w:t>
            </w:r>
          </w:p>
        </w:tc>
        <w:tc>
          <w:tcPr>
            <w:tcW w:w="850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394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WYMAGANE PARAMETRU SPRZĘTU</w:t>
            </w:r>
          </w:p>
        </w:tc>
      </w:tr>
      <w:tr w:rsidR="006E623B" w:rsidRPr="00B87B2A" w:rsidTr="000E04E7">
        <w:trPr>
          <w:trHeight w:val="1134"/>
        </w:trPr>
        <w:tc>
          <w:tcPr>
            <w:tcW w:w="1668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theme="minorHAnsi"/>
                <w:color w:val="000000"/>
                <w:sz w:val="18"/>
                <w:szCs w:val="18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 xml:space="preserve">Drukarka 3D + </w:t>
            </w:r>
            <w:r w:rsidRPr="00B87B2A">
              <w:rPr>
                <w:rFonts w:ascii="Verdana" w:hAnsi="Verdana" w:cstheme="minorHAnsi"/>
                <w:color w:val="000000"/>
                <w:sz w:val="18"/>
                <w:szCs w:val="18"/>
              </w:rPr>
              <w:t>materiały eksploatacyjne</w:t>
            </w:r>
          </w:p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hAnsi="Verdana" w:cstheme="minorHAnsi"/>
                <w:color w:val="000000"/>
                <w:sz w:val="18"/>
                <w:szCs w:val="18"/>
              </w:rPr>
              <w:t>(2 szpule PLA)</w:t>
            </w:r>
          </w:p>
        </w:tc>
        <w:tc>
          <w:tcPr>
            <w:tcW w:w="850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 szt.</w:t>
            </w:r>
          </w:p>
        </w:tc>
        <w:tc>
          <w:tcPr>
            <w:tcW w:w="7394" w:type="dxa"/>
          </w:tcPr>
          <w:tbl>
            <w:tblPr>
              <w:tblW w:w="751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7513"/>
            </w:tblGrid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2D03D9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  <w:lang w:eastAsia="pl-PL"/>
                    </w:rPr>
                  </w:pPr>
                  <w:r w:rsidRPr="002D03D9"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  <w:lang w:eastAsia="pl-PL"/>
                    </w:rPr>
                    <w:t>Najważniejsze parametry techniczne :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maksymalna wielkość wydruku: 250 x 235 x 165 mm/ 300 x 235 x 165 mm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drukowanie PLA,ABS, nylonem, gumą, ceramiką, ciastem, czekoladą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maksymalna prędkość ruchów: 500 mm/s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średnica lamentu: 3 mm / 1,75 mm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średnica dyszy: 0,2 mm/0,3 mm/0,4 mm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podgrzewany stół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temperatura rozgrzanej głowicy 250°C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wymiary: 530 x 555 x 480 mm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waga: 25 kg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zasilanie: 100-240V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Głowica do druku 3D na filament 1.75mm z dyszą 0.3mm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Głowica do druku 3D Dual PRO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Głowica CNC Pro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Głowica Laser Pro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Głowica ThickPasteExtruder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Stół do obróbki CNC oraz laserem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Podgrzewany stół roboczy do druku 3D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lastRenderedPageBreak/>
                    <w:t>Wentylatory na głowice do druku 3D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Zapasowa dysza 0.3mm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Klej do druku 3D Dimafix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2 szpule filamentu PLA po 0.5kg każda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Gwarancja:</w:t>
                  </w:r>
                </w:p>
                <w:p w:rsidR="006E623B" w:rsidRPr="00B87B2A" w:rsidRDefault="006E623B" w:rsidP="006E623B">
                  <w:pPr>
                    <w:pStyle w:val="Akapitzlist"/>
                    <w:numPr>
                      <w:ilvl w:val="0"/>
                      <w:numId w:val="7"/>
                    </w:num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min. 12 miesięcy w miejscu użytkowania sprzętu</w:t>
                  </w:r>
                </w:p>
                <w:p w:rsidR="006E623B" w:rsidRPr="00B87B2A" w:rsidRDefault="006E623B" w:rsidP="006E623B">
                  <w:pPr>
                    <w:pStyle w:val="Akapitzlist"/>
                    <w:numPr>
                      <w:ilvl w:val="0"/>
                      <w:numId w:val="7"/>
                    </w:num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4 dni robocze na usunięcie awarii od dnia zgłoszenia</w:t>
                  </w:r>
                </w:p>
                <w:p w:rsidR="006E623B" w:rsidRPr="00B8409E" w:rsidRDefault="006E623B" w:rsidP="006E623B">
                  <w:pPr>
                    <w:pStyle w:val="Akapitzlist"/>
                    <w:numPr>
                      <w:ilvl w:val="0"/>
                      <w:numId w:val="7"/>
                    </w:num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Czas reakcji serwisu: do końca następnego dnia roboczego</w:t>
                  </w:r>
                </w:p>
              </w:tc>
            </w:tr>
          </w:tbl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</w:tc>
      </w:tr>
      <w:tr w:rsidR="006E623B" w:rsidRPr="00B87B2A" w:rsidTr="000E04E7">
        <w:trPr>
          <w:trHeight w:val="310"/>
        </w:trPr>
        <w:tc>
          <w:tcPr>
            <w:tcW w:w="1668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lastRenderedPageBreak/>
              <w:t>RODZAJ SPRZĘTU</w:t>
            </w:r>
          </w:p>
        </w:tc>
        <w:tc>
          <w:tcPr>
            <w:tcW w:w="850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394" w:type="dxa"/>
            <w:vAlign w:val="center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WYMAGANE PARAMETRU SPRZĘTU</w:t>
            </w:r>
          </w:p>
        </w:tc>
      </w:tr>
      <w:tr w:rsidR="006E623B" w:rsidRPr="00B87B2A" w:rsidTr="000E04E7">
        <w:trPr>
          <w:trHeight w:val="1134"/>
        </w:trPr>
        <w:tc>
          <w:tcPr>
            <w:tcW w:w="1668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Kamery internetowe</w:t>
            </w:r>
          </w:p>
        </w:tc>
        <w:tc>
          <w:tcPr>
            <w:tcW w:w="850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16 szt.</w:t>
            </w:r>
          </w:p>
        </w:tc>
        <w:tc>
          <w:tcPr>
            <w:tcW w:w="7394" w:type="dxa"/>
          </w:tcPr>
          <w:tbl>
            <w:tblPr>
              <w:tblW w:w="7513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040"/>
              <w:gridCol w:w="4473"/>
            </w:tblGrid>
            <w:tr w:rsidR="006E623B" w:rsidRPr="00B87B2A" w:rsidTr="000E04E7">
              <w:trPr>
                <w:trHeight w:val="510"/>
              </w:trPr>
              <w:tc>
                <w:tcPr>
                  <w:tcW w:w="30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Rozdzielczość natywna</w:t>
                  </w:r>
                </w:p>
              </w:tc>
              <w:tc>
                <w:tcPr>
                  <w:tcW w:w="447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1280x720 pikseli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Efektywna liczba pikseli [MPix]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2</w:t>
                  </w:r>
                </w:p>
              </w:tc>
            </w:tr>
            <w:tr w:rsidR="006E623B" w:rsidRPr="00B87B2A" w:rsidTr="000E04E7">
              <w:trPr>
                <w:trHeight w:val="51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Kąt widzenia poziomy (H)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78.00 stopni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Interfejs komunikacyjny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USB 2.0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Wyjście audio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Nie</w:t>
                  </w:r>
                </w:p>
              </w:tc>
            </w:tr>
            <w:tr w:rsidR="006E623B" w:rsidRPr="00B87B2A" w:rsidTr="000E04E7">
              <w:trPr>
                <w:trHeight w:val="51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Kolor obudowy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Czarny (Black)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Wbudowany mikrofon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Tak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Wejście mikrofonowe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Nie</w:t>
                  </w:r>
                </w:p>
              </w:tc>
            </w:tr>
            <w:tr w:rsidR="006E623B" w:rsidRPr="00B87B2A" w:rsidTr="000E04E7">
              <w:trPr>
                <w:trHeight w:val="300"/>
              </w:trPr>
              <w:tc>
                <w:tcPr>
                  <w:tcW w:w="30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Typ zasilania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USB</w:t>
                  </w:r>
                </w:p>
              </w:tc>
            </w:tr>
            <w:tr w:rsidR="006E623B" w:rsidRPr="00B87B2A" w:rsidTr="000E04E7">
              <w:trPr>
                <w:trHeight w:val="765"/>
              </w:trPr>
              <w:tc>
                <w:tcPr>
                  <w:tcW w:w="30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  <w:t>Informacje dodatkowe</w:t>
                  </w: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Sensor GC1054 2.0M;</w:t>
                  </w:r>
                </w:p>
              </w:tc>
            </w:tr>
            <w:tr w:rsidR="006E623B" w:rsidRPr="00B87B2A" w:rsidTr="000E04E7">
              <w:trPr>
                <w:trHeight w:val="765"/>
              </w:trPr>
              <w:tc>
                <w:tcPr>
                  <w:tcW w:w="30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b/>
                      <w:bCs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447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  <w:r w:rsidRPr="00B87B2A"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  <w:t>Urządzenie Plug and Play</w:t>
                  </w:r>
                </w:p>
              </w:tc>
            </w:tr>
            <w:tr w:rsidR="006E623B" w:rsidRPr="00B87B2A" w:rsidTr="000E04E7">
              <w:trPr>
                <w:trHeight w:val="765"/>
              </w:trPr>
              <w:tc>
                <w:tcPr>
                  <w:tcW w:w="75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Gwarancja:</w:t>
                  </w:r>
                </w:p>
                <w:p w:rsidR="006E623B" w:rsidRPr="00B87B2A" w:rsidRDefault="006E623B" w:rsidP="006E623B">
                  <w:pPr>
                    <w:pStyle w:val="Akapitzlist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min. 12 miesięcy w miejscu użytkowania sprzętu</w:t>
                  </w:r>
                </w:p>
                <w:p w:rsidR="006E623B" w:rsidRPr="00B87B2A" w:rsidRDefault="006E623B" w:rsidP="006E623B">
                  <w:pPr>
                    <w:pStyle w:val="Akapitzlist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4 dni robocze na usunięcie awarii od dnia zgłoszenia</w:t>
                  </w:r>
                </w:p>
                <w:p w:rsidR="006E623B" w:rsidRPr="00B8409E" w:rsidRDefault="006E623B" w:rsidP="006E623B">
                  <w:pPr>
                    <w:pStyle w:val="Akapitzlist"/>
                    <w:numPr>
                      <w:ilvl w:val="0"/>
                      <w:numId w:val="8"/>
                    </w:numPr>
                    <w:spacing w:after="0" w:line="360" w:lineRule="auto"/>
                    <w:rPr>
                      <w:rFonts w:ascii="Verdana" w:hAnsi="Verdana"/>
                      <w:sz w:val="18"/>
                      <w:szCs w:val="18"/>
                    </w:rPr>
                  </w:pPr>
                  <w:r w:rsidRPr="00B87B2A">
                    <w:rPr>
                      <w:rFonts w:ascii="Verdana" w:hAnsi="Verdana"/>
                      <w:sz w:val="18"/>
                      <w:szCs w:val="18"/>
                    </w:rPr>
                    <w:t>Czas reakcji serwisu: do końca następnego dnia roboczego</w:t>
                  </w:r>
                </w:p>
              </w:tc>
            </w:tr>
            <w:tr w:rsidR="006E623B" w:rsidRPr="00B87B2A" w:rsidTr="000E04E7">
              <w:trPr>
                <w:trHeight w:val="55"/>
              </w:trPr>
              <w:tc>
                <w:tcPr>
                  <w:tcW w:w="7513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B87B2A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Times New Roman"/>
                      <w:sz w:val="18"/>
                      <w:szCs w:val="18"/>
                      <w:lang w:eastAsia="pl-PL"/>
                    </w:rPr>
                  </w:pPr>
                </w:p>
              </w:tc>
            </w:tr>
          </w:tbl>
          <w:p w:rsidR="006E623B" w:rsidRPr="00B87B2A" w:rsidRDefault="006E623B" w:rsidP="000E04E7">
            <w:pPr>
              <w:pStyle w:val="Akapitzlist"/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</w:p>
        </w:tc>
      </w:tr>
      <w:tr w:rsidR="006E623B" w:rsidRPr="00B87B2A" w:rsidTr="000E04E7">
        <w:trPr>
          <w:trHeight w:val="1134"/>
        </w:trPr>
        <w:tc>
          <w:tcPr>
            <w:tcW w:w="1668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Zestaw komputerowy (nauczycielski) – jednostka centralna+ monitor 27 cali</w:t>
            </w:r>
          </w:p>
        </w:tc>
        <w:tc>
          <w:tcPr>
            <w:tcW w:w="850" w:type="dxa"/>
          </w:tcPr>
          <w:p w:rsidR="006E623B" w:rsidRPr="00B87B2A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</w:pPr>
            <w:r w:rsidRPr="00B87B2A">
              <w:rPr>
                <w:rFonts w:ascii="Verdana" w:eastAsia="Times New Roman" w:hAnsi="Verdana" w:cs="Calibri"/>
                <w:b/>
                <w:sz w:val="18"/>
                <w:szCs w:val="18"/>
                <w:lang w:eastAsia="pl-PL"/>
              </w:rPr>
              <w:t>1szt.</w:t>
            </w:r>
          </w:p>
        </w:tc>
        <w:tc>
          <w:tcPr>
            <w:tcW w:w="7394" w:type="dxa"/>
          </w:tcPr>
          <w:p w:rsidR="006E623B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Parametry jednostki:</w:t>
            </w:r>
          </w:p>
          <w:p w:rsidR="006E623B" w:rsidRPr="005A180E" w:rsidRDefault="006E623B" w:rsidP="006E623B">
            <w:pPr>
              <w:pStyle w:val="Akapitzlist"/>
              <w:numPr>
                <w:ilvl w:val="0"/>
                <w:numId w:val="10"/>
              </w:numPr>
              <w:rPr>
                <w:rFonts w:ascii="Verdana" w:hAnsi="Verdana"/>
                <w:sz w:val="19"/>
                <w:szCs w:val="19"/>
              </w:rPr>
            </w:pPr>
            <w:r w:rsidRPr="005A180E">
              <w:rPr>
                <w:rFonts w:ascii="Verdana" w:hAnsi="Verdana"/>
                <w:sz w:val="19"/>
                <w:szCs w:val="19"/>
              </w:rPr>
              <w:t xml:space="preserve">Procesor – wielordzeniowy, osiągający w teście PassMark CPU Mark minimum 13 600 pkt.(wynik testu wydajności zaproponowanego procesora musi być opublikowany w zestawieniu CpuBenchmark – stanowiącym Załącznik </w:t>
            </w:r>
            <w:r w:rsidRPr="00D61D1D">
              <w:rPr>
                <w:rFonts w:ascii="Verdana" w:hAnsi="Verdana"/>
                <w:sz w:val="19"/>
                <w:szCs w:val="19"/>
              </w:rPr>
              <w:t>nr 7</w:t>
            </w:r>
            <w:r w:rsidRPr="005A180E">
              <w:rPr>
                <w:rFonts w:ascii="Verdana" w:hAnsi="Verdana"/>
                <w:sz w:val="19"/>
                <w:szCs w:val="19"/>
              </w:rPr>
              <w:t xml:space="preserve"> w niniejszym postępowaniu. Wyniki testów na podstawie zestawienia publikowanego na stronie </w:t>
            </w:r>
            <w:hyperlink r:id="rId9" w:history="1">
              <w:r w:rsidRPr="005A180E">
                <w:rPr>
                  <w:rStyle w:val="Hipercze"/>
                  <w:rFonts w:ascii="Verdana" w:hAnsi="Verdana"/>
                  <w:sz w:val="19"/>
                  <w:szCs w:val="19"/>
                </w:rPr>
                <w:t>www.cpubenchmark.net</w:t>
              </w:r>
            </w:hyperlink>
            <w:r w:rsidRPr="005A180E">
              <w:rPr>
                <w:rFonts w:ascii="Verdana" w:hAnsi="Verdana"/>
                <w:sz w:val="19"/>
                <w:szCs w:val="19"/>
              </w:rPr>
              <w:t xml:space="preserve"> w dniu </w:t>
            </w:r>
            <w:r>
              <w:rPr>
                <w:rFonts w:ascii="Verdana" w:hAnsi="Verdana"/>
                <w:sz w:val="19"/>
                <w:szCs w:val="19"/>
              </w:rPr>
              <w:t>21</w:t>
            </w:r>
            <w:r w:rsidRPr="00D61D1D">
              <w:rPr>
                <w:rFonts w:ascii="Verdana" w:hAnsi="Verdana"/>
                <w:sz w:val="19"/>
                <w:szCs w:val="19"/>
              </w:rPr>
              <w:t>.10.2020r.)</w:t>
            </w:r>
          </w:p>
          <w:p w:rsidR="006E623B" w:rsidRPr="00642BB5" w:rsidRDefault="006E623B" w:rsidP="000E04E7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</w:p>
          <w:p w:rsidR="006E623B" w:rsidRPr="005A180E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 xml:space="preserve">min. </w:t>
            </w:r>
            <w:r w:rsidRPr="005A180E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16GB DDR4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Dysk twardy min 500GB SSD m.2 odczyt min. 2200 MB/S zapis min 2000.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lastRenderedPageBreak/>
              <w:t>DVD - RW (nagrywarka DVD)</w:t>
            </w:r>
          </w:p>
          <w:p w:rsidR="006E623B" w:rsidRPr="002D03D9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480" w:lineRule="auto"/>
              <w:rPr>
                <w:rFonts w:ascii="Calibri" w:eastAsia="Times New Roman" w:hAnsi="Calibri" w:cs="Calibri"/>
                <w:color w:val="FF0000"/>
                <w:sz w:val="20"/>
                <w:szCs w:val="20"/>
                <w:lang w:eastAsia="pl-PL"/>
              </w:rPr>
            </w:pPr>
            <w:r w:rsidRPr="005A180E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Karta Graficzna osiągająca 14150 pkt.</w:t>
            </w:r>
            <w:r w:rsidRPr="005A180E">
              <w:rPr>
                <w:rFonts w:ascii="Verdana" w:hAnsi="Verdana"/>
                <w:sz w:val="19"/>
                <w:szCs w:val="19"/>
              </w:rPr>
              <w:t xml:space="preserve">(wynik testu wydajności zaproponowanej karty graficznej musi być opublikowany w zestawieniu VideoCardBenchmark– stanowiącym Załącznik </w:t>
            </w:r>
            <w:r w:rsidRPr="00D61D1D">
              <w:rPr>
                <w:rFonts w:ascii="Verdana" w:hAnsi="Verdana"/>
                <w:sz w:val="19"/>
                <w:szCs w:val="19"/>
              </w:rPr>
              <w:t>nr 8</w:t>
            </w:r>
            <w:r w:rsidRPr="005A180E">
              <w:rPr>
                <w:rFonts w:ascii="Verdana" w:hAnsi="Verdana"/>
                <w:sz w:val="19"/>
                <w:szCs w:val="19"/>
              </w:rPr>
              <w:t xml:space="preserve"> w niniejszym postępowaniu. Wyniki testów na podstawie zestawienia publikowanego na stronie www.videocardbenchmark.net w dniu </w:t>
            </w:r>
            <w:r>
              <w:rPr>
                <w:rFonts w:ascii="Verdana" w:hAnsi="Verdana"/>
                <w:sz w:val="19"/>
                <w:szCs w:val="19"/>
              </w:rPr>
              <w:t>21</w:t>
            </w:r>
            <w:r w:rsidRPr="00D61D1D">
              <w:rPr>
                <w:rFonts w:ascii="Verdana" w:hAnsi="Verdana"/>
                <w:sz w:val="19"/>
                <w:szCs w:val="19"/>
              </w:rPr>
              <w:t>.10.2020r.)</w:t>
            </w:r>
          </w:p>
          <w:p w:rsidR="006E623B" w:rsidRPr="002D03D9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Calibri"/>
                <w:color w:val="FF0000"/>
                <w:sz w:val="18"/>
                <w:szCs w:val="18"/>
                <w:lang w:eastAsia="pl-PL"/>
              </w:rPr>
            </w:pPr>
            <w:r w:rsidRPr="002D03D9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Posiadająca min 2XHDMI, 1xDP.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276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Karty sieciowe –Wifi,</w:t>
            </w:r>
            <w:r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Rj 45 – zintegrowane z jednostka</w:t>
            </w: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 xml:space="preserve"> centralna.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Porty: 1xHDMI, 1xVGA, 1xDVI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Obudowa Midi Tower trwale oznaczona logo producenta, zasilacz montowany na dole obudowy min 3 porty USB w tym min 1 port USB 3.0, Co najmniej jeden fabryczny wentylator umieszczony z tyłu obudowy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Zasilacz ATX min 650W posiadający certyfikat 80+ Gold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Klawiatura + mysz (przewodowe)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Windows 10 Pro</w:t>
            </w:r>
          </w:p>
          <w:p w:rsidR="006E623B" w:rsidRPr="00642BB5" w:rsidRDefault="006E623B" w:rsidP="006E623B">
            <w:pPr>
              <w:pStyle w:val="Akapitzlist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line="360" w:lineRule="auto"/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</w:pPr>
            <w:r w:rsidRPr="00642BB5">
              <w:rPr>
                <w:rFonts w:ascii="Verdana" w:eastAsia="Times New Roman" w:hAnsi="Verdana" w:cs="Calibri"/>
                <w:sz w:val="18"/>
                <w:szCs w:val="18"/>
                <w:lang w:eastAsia="pl-PL"/>
              </w:rPr>
              <w:t>Monitor:</w:t>
            </w:r>
          </w:p>
          <w:tbl>
            <w:tblPr>
              <w:tblW w:w="6660" w:type="dxa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3240"/>
              <w:gridCol w:w="3420"/>
            </w:tblGrid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Proporcje obrazu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16:09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Przekątna ekranu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min.27"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Typ matrycy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TFT-TN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Powierzchnia matrycy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Matowa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Ekran dotykowy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Nie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Technologia podświetlania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Diody LED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Plamka matrycy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0.311 mm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Rozdzielczość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1920 x 1080 (FHD 1080)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Czas reakcji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maks.1 ms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Jasność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min.300 cd/m²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Kontrast statyczny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1 000:1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Kontrast dynamiczny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12 000 000:1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Kąt widzenia poziomy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170 °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Kąt widzenia pionowy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160 °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Ilość kolorów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16,7 mln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 w:val="restar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Gniazda we/wy</w:t>
                  </w: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3,5 mm minijack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15-pin D-Sub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HDMI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1 x DisplayPort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2 x USB 2.0</w:t>
                  </w:r>
                </w:p>
              </w:tc>
            </w:tr>
            <w:tr w:rsidR="006E623B" w:rsidRPr="00642BB5" w:rsidTr="000E04E7">
              <w:trPr>
                <w:trHeight w:val="269"/>
              </w:trPr>
              <w:tc>
                <w:tcPr>
                  <w:tcW w:w="32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000000" w:fill="FFFFFF"/>
                  <w:noWrap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Ergonomia</w:t>
                  </w:r>
                </w:p>
              </w:tc>
              <w:tc>
                <w:tcPr>
                  <w:tcW w:w="3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 xml:space="preserve">- Zakres regulacji: pochył, </w:t>
                  </w: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lastRenderedPageBreak/>
                    <w:t>pivot(rotacja), obrót, wysokość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- Regulacja wysokości</w:t>
                  </w:r>
                </w:p>
              </w:tc>
            </w:tr>
            <w:tr w:rsidR="006E623B" w:rsidRPr="00642BB5" w:rsidTr="000E04E7">
              <w:trPr>
                <w:trHeight w:val="300"/>
              </w:trPr>
              <w:tc>
                <w:tcPr>
                  <w:tcW w:w="3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- PIVOT</w:t>
                  </w:r>
                </w:p>
              </w:tc>
            </w:tr>
            <w:tr w:rsidR="006E623B" w:rsidRPr="00642BB5" w:rsidTr="000E04E7">
              <w:trPr>
                <w:trHeight w:val="287"/>
              </w:trPr>
              <w:tc>
                <w:tcPr>
                  <w:tcW w:w="3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- Obrót stopy</w:t>
                  </w:r>
                </w:p>
              </w:tc>
            </w:tr>
            <w:tr w:rsidR="006E623B" w:rsidRPr="00642BB5" w:rsidTr="000E04E7">
              <w:trPr>
                <w:trHeight w:val="376"/>
              </w:trPr>
              <w:tc>
                <w:tcPr>
                  <w:tcW w:w="324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</w:p>
              </w:tc>
              <w:tc>
                <w:tcPr>
                  <w:tcW w:w="3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vAlign w:val="center"/>
                  <w:hideMark/>
                </w:tcPr>
                <w:p w:rsidR="006E623B" w:rsidRPr="00642BB5" w:rsidRDefault="006E623B" w:rsidP="000E04E7">
                  <w:pPr>
                    <w:spacing w:after="0" w:line="360" w:lineRule="auto"/>
                    <w:jc w:val="both"/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</w:pPr>
                  <w:r w:rsidRPr="00642BB5">
                    <w:rPr>
                      <w:rFonts w:ascii="Verdana" w:eastAsia="Times New Roman" w:hAnsi="Verdana" w:cs="Segoe UI"/>
                      <w:sz w:val="18"/>
                      <w:szCs w:val="18"/>
                      <w:lang w:eastAsia="pl-PL"/>
                    </w:rPr>
                    <w:t>- Możliwość pochylenia monitora</w:t>
                  </w:r>
                </w:p>
              </w:tc>
            </w:tr>
          </w:tbl>
          <w:p w:rsidR="006E623B" w:rsidRPr="00642BB5" w:rsidRDefault="006E623B" w:rsidP="000E04E7">
            <w:p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642BB5">
              <w:rPr>
                <w:rFonts w:ascii="Verdana" w:hAnsi="Verdana"/>
                <w:sz w:val="18"/>
                <w:szCs w:val="18"/>
              </w:rPr>
              <w:t>Gwarancja:</w:t>
            </w:r>
          </w:p>
          <w:p w:rsidR="006E623B" w:rsidRPr="00642BB5" w:rsidRDefault="006E623B" w:rsidP="006E623B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642BB5">
              <w:rPr>
                <w:rFonts w:ascii="Verdana" w:hAnsi="Verdana"/>
                <w:sz w:val="18"/>
                <w:szCs w:val="18"/>
              </w:rPr>
              <w:t>min. 12 miesięcy w miejscu użytkowania sprzętu</w:t>
            </w:r>
          </w:p>
          <w:p w:rsidR="006E623B" w:rsidRPr="00642BB5" w:rsidRDefault="006E623B" w:rsidP="006E623B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642BB5">
              <w:rPr>
                <w:rFonts w:ascii="Verdana" w:hAnsi="Verdana"/>
                <w:sz w:val="18"/>
                <w:szCs w:val="18"/>
              </w:rPr>
              <w:t>4 dni robocze na usunięcie awarii od dnia zgłoszenia</w:t>
            </w:r>
          </w:p>
          <w:p w:rsidR="006E623B" w:rsidRPr="00642BB5" w:rsidRDefault="006E623B" w:rsidP="006E623B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642BB5">
              <w:rPr>
                <w:rFonts w:ascii="Verdana" w:hAnsi="Verdana"/>
                <w:sz w:val="18"/>
                <w:szCs w:val="18"/>
              </w:rPr>
              <w:t>Czas reakcji serwisu: do końca następnego dnia roboczego</w:t>
            </w:r>
          </w:p>
          <w:p w:rsidR="006E623B" w:rsidRPr="00642BB5" w:rsidRDefault="006E623B" w:rsidP="006E623B">
            <w:pPr>
              <w:pStyle w:val="Akapitzlist"/>
              <w:numPr>
                <w:ilvl w:val="0"/>
                <w:numId w:val="9"/>
              </w:numPr>
              <w:spacing w:line="360" w:lineRule="auto"/>
              <w:rPr>
                <w:rFonts w:ascii="Verdana" w:hAnsi="Verdana"/>
                <w:sz w:val="18"/>
                <w:szCs w:val="18"/>
              </w:rPr>
            </w:pPr>
            <w:r w:rsidRPr="00642BB5">
              <w:rPr>
                <w:rFonts w:ascii="Verdana" w:hAnsi="Verdana"/>
                <w:sz w:val="18"/>
                <w:szCs w:val="18"/>
              </w:rPr>
              <w:t>W przypadku awarii nośników danych w okresie gwarancji takich jak dyski twarde itp., pozostają one u Zamawiającego 5-letnia gwarancja bezzwrotna na dyski twarde.</w:t>
            </w:r>
          </w:p>
        </w:tc>
      </w:tr>
    </w:tbl>
    <w:p w:rsidR="006E623B" w:rsidRPr="00B87B2A" w:rsidRDefault="006E623B" w:rsidP="006E623B">
      <w:pPr>
        <w:pStyle w:val="NormalnyWeb"/>
        <w:spacing w:before="0" w:beforeAutospacing="0" w:after="0" w:line="360" w:lineRule="auto"/>
        <w:jc w:val="both"/>
        <w:rPr>
          <w:rFonts w:ascii="Verdana" w:hAnsi="Verdana"/>
          <w:sz w:val="18"/>
          <w:szCs w:val="18"/>
        </w:rPr>
      </w:pPr>
    </w:p>
    <w:p w:rsidR="006E623B" w:rsidRPr="00B87B2A" w:rsidRDefault="006E623B" w:rsidP="006E623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Calibri"/>
          <w:b/>
          <w:sz w:val="18"/>
          <w:szCs w:val="18"/>
          <w:u w:val="single"/>
          <w:lang w:eastAsia="pl-PL"/>
        </w:rPr>
      </w:pPr>
      <w:r w:rsidRPr="00B87B2A">
        <w:rPr>
          <w:rFonts w:ascii="Verdana" w:eastAsia="Times New Roman" w:hAnsi="Verdana" w:cs="Calibri"/>
          <w:b/>
          <w:sz w:val="18"/>
          <w:szCs w:val="18"/>
          <w:u w:val="single"/>
          <w:lang w:eastAsia="pl-PL"/>
        </w:rPr>
        <w:t>Przy wykonywaniu wyceny na w/w sprzęt komputerowy należy powołać się na ustawę z dnia 11 marca 2004 r. o podatku od towarów i usług (art. 83 ust. 1 pkt</w:t>
      </w:r>
      <w:r>
        <w:rPr>
          <w:rFonts w:ascii="Verdana" w:eastAsia="Times New Roman" w:hAnsi="Verdana" w:cs="Calibri"/>
          <w:b/>
          <w:sz w:val="18"/>
          <w:szCs w:val="18"/>
          <w:u w:val="single"/>
          <w:lang w:eastAsia="pl-PL"/>
        </w:rPr>
        <w:t>.</w:t>
      </w:r>
      <w:r w:rsidRPr="00B87B2A">
        <w:rPr>
          <w:rFonts w:ascii="Verdana" w:eastAsia="Times New Roman" w:hAnsi="Verdana" w:cs="Calibri"/>
          <w:b/>
          <w:sz w:val="18"/>
          <w:szCs w:val="18"/>
          <w:u w:val="single"/>
          <w:lang w:eastAsia="pl-PL"/>
        </w:rPr>
        <w:t xml:space="preserve"> 26 ) – wykaz towarów, których dostawa jest opodatkowana stawką 0% VAT – którą stosuje się do dostaw sprzętu komputerowego dla placówek oświatowych.</w:t>
      </w:r>
      <w:r>
        <w:rPr>
          <w:rFonts w:ascii="Verdana" w:eastAsia="Times New Roman" w:hAnsi="Verdana" w:cs="Calibri"/>
          <w:b/>
          <w:sz w:val="18"/>
          <w:szCs w:val="18"/>
          <w:u w:val="single"/>
          <w:lang w:eastAsia="pl-PL"/>
        </w:rPr>
        <w:t xml:space="preserve"> (zaświadczenie organu prowadzącego, że Zamawiający jest jednostką oświatową w załączniku nr 5).</w:t>
      </w:r>
    </w:p>
    <w:p w:rsidR="006E623B" w:rsidRDefault="006E623B" w:rsidP="006E623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Calibri"/>
          <w:sz w:val="18"/>
          <w:szCs w:val="18"/>
          <w:lang w:eastAsia="pl-PL"/>
        </w:rPr>
      </w:pPr>
    </w:p>
    <w:p w:rsidR="006E623B" w:rsidRPr="00B87B2A" w:rsidRDefault="006E623B" w:rsidP="006E623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Calibri"/>
          <w:sz w:val="18"/>
          <w:szCs w:val="18"/>
          <w:lang w:eastAsia="pl-PL"/>
        </w:rPr>
      </w:pPr>
      <w:r w:rsidRPr="00B87B2A">
        <w:rPr>
          <w:rFonts w:ascii="Verdana" w:eastAsia="Times New Roman" w:hAnsi="Verdana" w:cs="Calibri"/>
          <w:sz w:val="18"/>
          <w:szCs w:val="18"/>
          <w:lang w:eastAsia="pl-PL"/>
        </w:rPr>
        <w:t>Do kontaktu z Wykonawcą wyznaczono: Adam Borowski –kierownik gospodarczy tel. 695 454</w:t>
      </w:r>
      <w:r>
        <w:rPr>
          <w:rFonts w:ascii="Verdana" w:eastAsia="Times New Roman" w:hAnsi="Verdana" w:cs="Calibri"/>
          <w:sz w:val="18"/>
          <w:szCs w:val="18"/>
          <w:lang w:eastAsia="pl-PL"/>
        </w:rPr>
        <w:t> </w:t>
      </w:r>
      <w:r w:rsidRPr="00B87B2A">
        <w:rPr>
          <w:rFonts w:ascii="Verdana" w:eastAsia="Times New Roman" w:hAnsi="Verdana" w:cs="Calibri"/>
          <w:sz w:val="18"/>
          <w:szCs w:val="18"/>
          <w:lang w:eastAsia="pl-PL"/>
        </w:rPr>
        <w:t>900</w:t>
      </w:r>
      <w:r>
        <w:rPr>
          <w:rFonts w:ascii="Verdana" w:eastAsia="Times New Roman" w:hAnsi="Verdana" w:cs="Calibri"/>
          <w:sz w:val="18"/>
          <w:szCs w:val="18"/>
          <w:lang w:eastAsia="pl-PL"/>
        </w:rPr>
        <w:t xml:space="preserve">, </w:t>
      </w:r>
      <w:r w:rsidRPr="00B87B2A">
        <w:rPr>
          <w:rFonts w:ascii="Verdana" w:eastAsia="Times New Roman" w:hAnsi="Verdana" w:cs="Calibri"/>
          <w:sz w:val="18"/>
          <w:szCs w:val="18"/>
          <w:lang w:eastAsia="pl-PL"/>
        </w:rPr>
        <w:t>e-mail: kierownik.gospodarczy@zsgoscino.pl</w:t>
      </w:r>
    </w:p>
    <w:p w:rsidR="006B1245" w:rsidRDefault="006B1245"/>
    <w:sectPr w:rsidR="006B1245" w:rsidSect="006B124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649C" w:rsidRDefault="001F649C" w:rsidP="00720903">
      <w:pPr>
        <w:spacing w:after="0" w:line="240" w:lineRule="auto"/>
      </w:pPr>
      <w:r>
        <w:separator/>
      </w:r>
    </w:p>
  </w:endnote>
  <w:endnote w:type="continuationSeparator" w:id="1">
    <w:p w:rsidR="001F649C" w:rsidRDefault="001F649C" w:rsidP="00720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903" w:rsidRPr="00F5512A" w:rsidRDefault="00720903" w:rsidP="00720903">
    <w:pPr>
      <w:pStyle w:val="Stopka"/>
      <w:jc w:val="center"/>
      <w:rPr>
        <w:rFonts w:ascii="Segoe UI" w:hAnsi="Segoe UI" w:cs="Segoe UI"/>
      </w:rPr>
    </w:pPr>
    <w:r w:rsidRPr="00E8137D">
      <w:rPr>
        <w:rFonts w:ascii="Segoe UI" w:hAnsi="Segoe UI" w:cs="Segoe UI"/>
        <w:color w:val="333333"/>
        <w:sz w:val="14"/>
        <w:szCs w:val="14"/>
      </w:rPr>
      <w:t>Projekt</w:t>
    </w:r>
    <w:r>
      <w:rPr>
        <w:rFonts w:ascii="Segoe UI" w:hAnsi="Segoe UI" w:cs="Segoe UI"/>
        <w:color w:val="333333"/>
        <w:sz w:val="14"/>
        <w:szCs w:val="14"/>
      </w:rPr>
      <w:t xml:space="preserve"> </w:t>
    </w:r>
    <w:r w:rsidRPr="00E8137D">
      <w:rPr>
        <w:rFonts w:ascii="Segoe UI" w:hAnsi="Segoe UI" w:cs="Segoe UI"/>
        <w:color w:val="333333"/>
        <w:sz w:val="14"/>
        <w:szCs w:val="14"/>
      </w:rPr>
      <w:t>„Fabryka Kompetencji Kluczowych” współfinansowany z Europejskiego Funduszu Społecznego w ramach</w:t>
    </w:r>
    <w:r w:rsidRPr="00E8137D">
      <w:rPr>
        <w:rFonts w:ascii="Segoe UI" w:hAnsi="Segoe UI" w:cs="Segoe UI"/>
        <w:color w:val="333333"/>
        <w:sz w:val="14"/>
        <w:szCs w:val="14"/>
      </w:rPr>
      <w:br/>
      <w:t>Działania 8.4. Regionalnego Programu Operacyjnego Województwa Zachodniopomorskiego 2014-2020</w:t>
    </w:r>
  </w:p>
  <w:p w:rsidR="00720903" w:rsidRDefault="007209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649C" w:rsidRDefault="001F649C" w:rsidP="00720903">
      <w:pPr>
        <w:spacing w:after="0" w:line="240" w:lineRule="auto"/>
      </w:pPr>
      <w:r>
        <w:separator/>
      </w:r>
    </w:p>
  </w:footnote>
  <w:footnote w:type="continuationSeparator" w:id="1">
    <w:p w:rsidR="001F649C" w:rsidRDefault="001F649C" w:rsidP="00720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903" w:rsidRDefault="00720903">
    <w:pPr>
      <w:pStyle w:val="Nagwek"/>
    </w:pPr>
    <w:r w:rsidRPr="00720903"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-268564</wp:posOffset>
          </wp:positionH>
          <wp:positionV relativeFrom="paragraph">
            <wp:posOffset>-77921</wp:posOffset>
          </wp:positionV>
          <wp:extent cx="6477492" cy="460150"/>
          <wp:effectExtent l="0" t="0" r="0" b="0"/>
          <wp:wrapNone/>
          <wp:docPr id="5" name="Obraz 5" descr="C:\Users\wojciech.krycki\Desktop\Logo zestawienia HQ\FE(PR)-RP-PZ-UE(EFS)\FE(PR)-RP-PZ-UE(EFS) BT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C:\Users\wojciech.krycki\Desktop\Logo zestawienia HQ\FE(PR)-RP-PZ-UE(EFS)\FE(PR)-RP-PZ-UE(EFS) BT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175" cy="455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549A9"/>
    <w:multiLevelType w:val="hybridMultilevel"/>
    <w:tmpl w:val="430228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0C2275"/>
    <w:multiLevelType w:val="hybridMultilevel"/>
    <w:tmpl w:val="430228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BA5A31"/>
    <w:multiLevelType w:val="multilevel"/>
    <w:tmpl w:val="8D4E7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7D7E60"/>
    <w:multiLevelType w:val="hybridMultilevel"/>
    <w:tmpl w:val="088C58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945E17"/>
    <w:multiLevelType w:val="multilevel"/>
    <w:tmpl w:val="96F0F1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/>
        <w:sz w:val="20"/>
        <w:szCs w:val="2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08C4D48"/>
    <w:multiLevelType w:val="hybridMultilevel"/>
    <w:tmpl w:val="B8365CFA"/>
    <w:lvl w:ilvl="0" w:tplc="041602D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E67AA"/>
    <w:multiLevelType w:val="hybridMultilevel"/>
    <w:tmpl w:val="6460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61724F"/>
    <w:multiLevelType w:val="hybridMultilevel"/>
    <w:tmpl w:val="C5F83F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120977"/>
    <w:multiLevelType w:val="hybridMultilevel"/>
    <w:tmpl w:val="430228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5A50A6E"/>
    <w:multiLevelType w:val="hybridMultilevel"/>
    <w:tmpl w:val="430228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7"/>
  </w:num>
  <w:num w:numId="5">
    <w:abstractNumId w:val="5"/>
  </w:num>
  <w:num w:numId="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0903"/>
    <w:rsid w:val="001F649C"/>
    <w:rsid w:val="002D0E14"/>
    <w:rsid w:val="006B1245"/>
    <w:rsid w:val="006E623B"/>
    <w:rsid w:val="00720903"/>
    <w:rsid w:val="007B43C1"/>
    <w:rsid w:val="0090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623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720903"/>
    <w:rPr>
      <w:color w:val="000080"/>
      <w:u w:val="single"/>
    </w:rPr>
  </w:style>
  <w:style w:type="paragraph" w:styleId="NormalnyWeb">
    <w:name w:val="Normal (Web)"/>
    <w:basedOn w:val="Normalny"/>
    <w:uiPriority w:val="99"/>
    <w:unhideWhenUsed/>
    <w:rsid w:val="00720903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720903"/>
    <w:pPr>
      <w:ind w:left="720"/>
      <w:contextualSpacing/>
    </w:pPr>
  </w:style>
  <w:style w:type="paragraph" w:customStyle="1" w:styleId="Normalny1">
    <w:name w:val="Normalny1"/>
    <w:rsid w:val="00720903"/>
    <w:pPr>
      <w:keepNext/>
      <w:widowControl w:val="0"/>
      <w:shd w:val="clear" w:color="auto" w:fill="FFFFFF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zh-CN" w:bidi="fa-IR"/>
    </w:rPr>
  </w:style>
  <w:style w:type="character" w:customStyle="1" w:styleId="AkapitzlistZnak">
    <w:name w:val="Akapit z listą Znak"/>
    <w:link w:val="Akapitzlist"/>
    <w:uiPriority w:val="34"/>
    <w:locked/>
    <w:rsid w:val="00720903"/>
  </w:style>
  <w:style w:type="paragraph" w:styleId="Nagwek">
    <w:name w:val="header"/>
    <w:basedOn w:val="Normalny"/>
    <w:link w:val="NagwekZnak"/>
    <w:uiPriority w:val="99"/>
    <w:semiHidden/>
    <w:unhideWhenUsed/>
    <w:rsid w:val="00720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0903"/>
  </w:style>
  <w:style w:type="paragraph" w:styleId="Stopka">
    <w:name w:val="footer"/>
    <w:basedOn w:val="Normalny"/>
    <w:link w:val="StopkaZnak"/>
    <w:uiPriority w:val="99"/>
    <w:unhideWhenUsed/>
    <w:rsid w:val="007209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0903"/>
  </w:style>
  <w:style w:type="table" w:styleId="Tabela-Siatka">
    <w:name w:val="Table Grid"/>
    <w:basedOn w:val="Standardowy"/>
    <w:uiPriority w:val="39"/>
    <w:rsid w:val="006E62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Z_KolosowskaM\AppData\Local\Temp\www.cpubenchmark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IZ_KolosowskaM\AppData\Local\Temp\www.cpubenchmark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E693C-583E-4084-9839-4A4E978CA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978</Words>
  <Characters>5874</Characters>
  <Application>Microsoft Office Word</Application>
  <DocSecurity>0</DocSecurity>
  <Lines>48</Lines>
  <Paragraphs>13</Paragraphs>
  <ScaleCrop>false</ScaleCrop>
  <Company>Ministrerstwo Edukacji Narodowej</Company>
  <LinksUpToDate>false</LinksUpToDate>
  <CharactersWithSpaces>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2020-10-20T10:53:00Z</dcterms:created>
  <dcterms:modified xsi:type="dcterms:W3CDTF">2020-10-20T10:53:00Z</dcterms:modified>
</cp:coreProperties>
</file>